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Dear </w:t>
      </w:r>
      <w:r>
        <w:rPr>
          <w:rFonts w:ascii="Times New Roman" w:hAnsi="Times New Roman"/>
          <w:outline w:val="0"/>
          <w:color w:val="fe634d"/>
          <w:rtl w:val="0"/>
          <w:lang w:val="pt-PT"/>
          <w14:textFill>
            <w14:solidFill>
              <w14:srgbClr w14:val="FF644E"/>
            </w14:solidFill>
          </w14:textFill>
        </w:rPr>
        <w:t>[Recipient],</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I am writing to formally decline the administration of the Flu Mist nasal spray for </w:t>
      </w:r>
      <w:r>
        <w:rPr>
          <w:rFonts w:ascii="Times New Roman" w:hAnsi="Times New Roman"/>
          <w:outline w:val="0"/>
          <w:color w:val="fe634d"/>
          <w:rtl w:val="0"/>
          <w:lang w:val="en-US"/>
          <w14:textFill>
            <w14:solidFill>
              <w14:srgbClr w14:val="FF644E"/>
            </w14:solidFill>
          </w14:textFill>
        </w:rPr>
        <w:t>[child</w:t>
      </w:r>
      <w:r>
        <w:rPr>
          <w:rFonts w:ascii="Times New Roman" w:hAnsi="Times New Roman" w:hint="default"/>
          <w:outline w:val="0"/>
          <w:color w:val="fe634d"/>
          <w:rtl w:val="1"/>
          <w14:textFill>
            <w14:solidFill>
              <w14:srgbClr w14:val="FF644E"/>
            </w14:solidFill>
          </w14:textFill>
        </w:rPr>
        <w:t>’</w:t>
      </w:r>
      <w:r>
        <w:rPr>
          <w:rFonts w:ascii="Times New Roman" w:hAnsi="Times New Roman"/>
          <w:outline w:val="0"/>
          <w:color w:val="fe634d"/>
          <w:rtl w:val="0"/>
          <w:lang w:val="en-US"/>
          <w14:textFill>
            <w14:solidFill>
              <w14:srgbClr w14:val="FF644E"/>
            </w14:solidFill>
          </w14:textFill>
        </w:rPr>
        <w:t>s name]</w:t>
      </w:r>
      <w:r>
        <w:rPr>
          <w:rFonts w:ascii="Times New Roman" w:hAnsi="Times New Roman"/>
          <w:rtl w:val="0"/>
          <w:lang w:val="en-US"/>
        </w:rPr>
        <w:t>. My decision is based on several scientific and health considerations, particularly concerning the vaccine</w:t>
      </w:r>
      <w:r>
        <w:rPr>
          <w:rFonts w:ascii="Times New Roman" w:hAnsi="Times New Roman" w:hint="default"/>
          <w:rtl w:val="1"/>
        </w:rPr>
        <w:t>’</w:t>
      </w:r>
      <w:r>
        <w:rPr>
          <w:rFonts w:ascii="Times New Roman" w:hAnsi="Times New Roman"/>
          <w:rtl w:val="0"/>
          <w:lang w:val="en-US"/>
        </w:rPr>
        <w:t>s ingredients and its potential impact on health.</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One of the primary concerns is the presence of Monosodium Glutamate (MSG) in the vaccine, which has been shown to affect the permeability of the blood-brain barrier. Research suggests that glutamate can increase this permeability by activating NMDA receptors, potentially allowing harmful substances to enter the central nervous system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HYPERLINK "https://www.jneurosci.org/content/36/49/12296#:~:text=Journal%20Club-,Glutamate%20Induces%20Blood%E2%80%93Brain%20Barrier%20Permeability%20through%20Activation%20of,%2DMethyl%2DD%2DAspartate%20Receptors&amp;text=The%20blood%E2%80%93brain%20barrier%20(BBB,and%20cells%20into%20the%20CNS.)"</w:instrText>
      </w:r>
      <w:r>
        <w:rPr>
          <w:rFonts w:ascii="Times New Roman" w:cs="Times New Roman" w:hAnsi="Times New Roman" w:eastAsia="Times New Roman"/>
          <w:rtl w:val="0"/>
        </w:rPr>
        <w:fldChar w:fldCharType="separate" w:fldLock="0"/>
      </w:r>
      <w:r>
        <w:rPr>
          <w:rFonts w:ascii="Times New Roman" w:hAnsi="Times New Roman"/>
          <w:rtl w:val="0"/>
          <w:lang w:val="fr-FR"/>
        </w:rPr>
        <w:t>Journal ofNeuroscience, 2016</w:t>
      </w:r>
      <w:r>
        <w:rPr>
          <w:rFonts w:ascii="Times New Roman" w:cs="Times New Roman" w:hAnsi="Times New Roman" w:eastAsia="Times New Roman"/>
          <w:rtl w:val="0"/>
        </w:rPr>
        <w:fldChar w:fldCharType="end" w:fldLock="0"/>
      </w:r>
      <w:r>
        <w:rPr>
          <w:rFonts w:ascii="Times New Roman" w:hAnsi="Times New Roman"/>
          <w:rtl w:val="0"/>
          <w:lang w:val="en-US"/>
        </w:rPr>
        <w:t>)</w:t>
      </w:r>
      <w:r>
        <w:rPr>
          <w:rFonts w:ascii="Times New Roman" w:hAnsi="Times New Roman"/>
          <w:rtl w:val="0"/>
          <w:lang w:val="en-US"/>
        </w:rPr>
        <w:t>. Additionally, the shedding of live attenuated viruses from the vaccine recipient is another major concern. This can increase the risk of virus transmission, especially to vulnerable individuals.</w:t>
      </w: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There are numerous contraindications for children receiving this vaccine, including but not limited to:</w:t>
      </w:r>
    </w:p>
    <w:p>
      <w:pPr>
        <w:pStyle w:val="Default"/>
        <w:numPr>
          <w:ilvl w:val="0"/>
          <w:numId w:val="2"/>
        </w:numPr>
        <w:bidi w:val="0"/>
        <w:spacing w:before="0" w:line="240" w:lineRule="auto"/>
        <w:ind w:right="0"/>
        <w:jc w:val="left"/>
        <w:rPr>
          <w:rFonts w:ascii="Times New Roman" w:hAnsi="Times New Roman"/>
          <w:rtl w:val="0"/>
          <w:lang w:val="de-DE"/>
        </w:rPr>
      </w:pPr>
      <w:r>
        <w:rPr>
          <w:rFonts w:ascii="Times New Roman" w:hAnsi="Times New Roman"/>
          <w:rtl w:val="0"/>
          <w:lang w:val="de-DE"/>
        </w:rPr>
        <w:t>Asthma</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 xml:space="preserve">Allergies to eggs, egg proteins, or </w:t>
      </w:r>
      <w:r>
        <w:rPr>
          <w:rFonts w:ascii="Times New Roman" w:hAnsi="Times New Roman"/>
          <w:rtl w:val="0"/>
          <w:lang w:val="en-US"/>
        </w:rPr>
        <w:t>gelatine</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Immunocompromised conditions (or close contact with immunocompromised individuals)</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History of leukemia or lymphoma</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Use of corticosteroids (topical or inhaled)</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Adrenal insufficiency</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Blood disorders</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Use of acetylsalicylic acid</w:t>
      </w:r>
    </w:p>
    <w:p>
      <w:pPr>
        <w:pStyle w:val="Default"/>
        <w:bidi w:val="0"/>
        <w:spacing w:before="0" w:line="240" w:lineRule="auto"/>
        <w:ind w:left="0" w:right="0" w:firstLine="0"/>
        <w:jc w:val="left"/>
        <w:rPr>
          <w:rFonts w:ascii="Times New Roman" w:cs="Times New Roman" w:hAnsi="Times New Roman" w:eastAsia="Times New Roman"/>
          <w:rtl w:val="0"/>
        </w:rPr>
      </w:pPr>
    </w:p>
    <w:p>
      <w:pPr>
        <w:pStyle w:val="Default"/>
        <w:bidi w:val="0"/>
        <w:spacing w:before="0" w:line="240" w:lineRule="auto"/>
        <w:ind w:left="0" w:right="0" w:firstLine="0"/>
        <w:jc w:val="left"/>
        <w:rPr>
          <w:rFonts w:ascii="Times New Roman" w:cs="Times New Roman" w:hAnsi="Times New Roman" w:eastAsia="Times New Roman"/>
          <w:b w:val="1"/>
          <w:bCs w:val="1"/>
          <w:i w:val="1"/>
          <w:iCs w:val="1"/>
          <w:u w:color="000000"/>
          <w:rtl w:val="0"/>
          <w:lang w:val="en-US"/>
          <w14:textOutline w14:w="12700" w14:cap="flat">
            <w14:noFill/>
            <w14:miter w14:lim="400000"/>
          </w14:textOutline>
        </w:rPr>
      </w:pPr>
      <w:r>
        <w:rPr>
          <w:rFonts w:ascii="Times New Roman" w:hAnsi="Times New Roman"/>
          <w:b w:val="0"/>
          <w:bCs w:val="0"/>
          <w:i w:val="0"/>
          <w:iCs w:val="0"/>
          <w:u w:color="000000"/>
          <w:rtl w:val="0"/>
          <w:lang w:val="en-US"/>
          <w14:textOutline w14:w="12700" w14:cap="flat">
            <w14:noFill/>
            <w14:miter w14:lim="400000"/>
          </w14:textOutline>
        </w:rPr>
        <w:t>According to 4.3 of the manufacturers insert;</w:t>
      </w:r>
      <w:r>
        <w:rPr>
          <w:rFonts w:ascii="Times New Roman" w:hAnsi="Times New Roman"/>
          <w:b w:val="1"/>
          <w:bCs w:val="1"/>
          <w:i w:val="1"/>
          <w:iCs w:val="1"/>
          <w:u w:color="000000"/>
          <w:rtl w:val="0"/>
          <w:lang w:val="en-US"/>
          <w14:textOutline w14:w="12700" w14:cap="flat">
            <w14:noFill/>
            <w14:miter w14:lim="400000"/>
          </w14:textOutline>
        </w:rPr>
        <w:t xml:space="preserve"> </w:t>
      </w:r>
      <w:r>
        <w:rPr>
          <w:rFonts w:ascii="Times New Roman" w:hAnsi="Times New Roman"/>
          <w:b w:val="0"/>
          <w:bCs w:val="0"/>
          <w:i w:val="1"/>
          <w:iCs w:val="1"/>
          <w:u w:color="000000"/>
          <w:rtl w:val="0"/>
          <w:lang w:val="en-US"/>
          <w14:textOutline w14:w="12700" w14:cap="flat">
            <w14:noFill/>
            <w14:miter w14:lim="400000"/>
          </w14:textOutline>
        </w:rPr>
        <w:t xml:space="preserve">- </w:t>
      </w:r>
      <w:r>
        <w:rPr>
          <w:rFonts w:ascii="Times New Roman" w:hAnsi="Times New Roman" w:hint="default"/>
          <w:b w:val="1"/>
          <w:bCs w:val="1"/>
          <w:i w:val="1"/>
          <w:iCs w:val="1"/>
          <w:u w:color="000000"/>
          <w:rtl w:val="0"/>
          <w:lang w:val="en-US"/>
          <w14:textOutline w14:w="12700" w14:cap="flat">
            <w14:noFill/>
            <w14:miter w14:lim="400000"/>
          </w14:textOutline>
        </w:rPr>
        <w:t>“</w:t>
      </w:r>
      <w:r>
        <w:rPr>
          <w:rFonts w:ascii="Times New Roman" w:hAnsi="Times New Roman"/>
          <w:b w:val="1"/>
          <w:bCs w:val="1"/>
          <w:i w:val="1"/>
          <w:iCs w:val="1"/>
          <w:u w:color="000000"/>
          <w:rtl w:val="0"/>
          <w:lang w:val="en-US"/>
          <w14:textOutline w14:w="12700" w14:cap="flat">
            <w14:noFill/>
            <w14:miter w14:lim="400000"/>
          </w14:textOutline>
        </w:rPr>
        <w:t>Children and adolescents with clinical immunodeficiency due to conditions or immunosuppressive therapy such as: acute and chronic leukaemias; lymphoma; symptomatic HIV infection; cellular immune deficiencies; and high-dose corticosteroids</w:t>
      </w:r>
      <w:r>
        <w:rPr>
          <w:rFonts w:ascii="Times New Roman" w:hAnsi="Times New Roman"/>
          <w:b w:val="1"/>
          <w:bCs w:val="1"/>
          <w:i w:val="1"/>
          <w:iCs w:val="1"/>
          <w:u w:color="000000"/>
          <w:rtl w:val="0"/>
          <w:lang w:val="en-US"/>
          <w14:textOutline w14:w="12700" w14:cap="flat">
            <w14:noFill/>
            <w14:miter w14:lim="400000"/>
          </w14:textOutline>
        </w:rPr>
        <w:t xml:space="preserve"> should not receive the nasal spray</w:t>
      </w:r>
      <w:r>
        <w:rPr>
          <w:rFonts w:ascii="Times New Roman" w:hAnsi="Times New Roman"/>
          <w:b w:val="1"/>
          <w:bCs w:val="1"/>
          <w:i w:val="1"/>
          <w:iCs w:val="1"/>
          <w:u w:color="000000"/>
          <w:rtl w:val="0"/>
          <w:lang w:val="en-US"/>
          <w14:textOutline w14:w="12700" w14:cap="flat">
            <w14:noFill/>
            <w14:miter w14:lim="400000"/>
          </w14:textOutline>
        </w:rPr>
        <w:t>. Fluenz Tetra is not contraindicated for use in individuals with asymptomatic HIV infection; or individuals who are receiving topical/inhaled corticosteroids or low-dose systemic corticosteroids or those receiving corticosteroids as replacement therapy, e.g. for adrenal insufficiency.</w:t>
      </w:r>
      <w:r>
        <w:rPr>
          <w:rFonts w:ascii="Times New Roman" w:hAnsi="Times New Roman" w:hint="default"/>
          <w:b w:val="1"/>
          <w:bCs w:val="1"/>
          <w:i w:val="1"/>
          <w:iCs w:val="1"/>
          <w:u w:color="000000"/>
          <w:rtl w:val="0"/>
          <w:lang w:val="en-US"/>
          <w14:textOutline w14:w="12700" w14:cap="flat">
            <w14:noFill/>
            <w14:miter w14:lim="400000"/>
          </w14:textOutline>
        </w:rPr>
        <w:t>”</w:t>
      </w:r>
    </w:p>
    <w:p>
      <w:pPr>
        <w:pStyle w:val="Default"/>
        <w:bidi w:val="0"/>
        <w:spacing w:before="0" w:line="240" w:lineRule="auto"/>
        <w:ind w:left="720" w:right="0" w:firstLine="0"/>
        <w:jc w:val="left"/>
        <w:rPr>
          <w:rFonts w:ascii="Times New Roman" w:cs="Times New Roman" w:hAnsi="Times New Roman" w:eastAsia="Times New Roman"/>
          <w:rtl w:val="0"/>
        </w:rPr>
      </w:pP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According to the vaccine insert, Fluenz Tetra is a live attenuated vaccine, which can result in shedding for several days, predominantly between Days 1-3 post-vaccination. Shedding studies, including those cited in the manufacturer</w:t>
      </w:r>
      <w:r>
        <w:rPr>
          <w:rFonts w:ascii="Times New Roman" w:hAnsi="Times New Roman" w:hint="default"/>
          <w:rtl w:val="1"/>
        </w:rPr>
        <w:t>’</w:t>
      </w:r>
      <w:r>
        <w:rPr>
          <w:rFonts w:ascii="Times New Roman" w:hAnsi="Times New Roman"/>
          <w:rtl w:val="0"/>
          <w:lang w:val="en-US"/>
        </w:rPr>
        <w:t>s documentation, indicate that vaccinated individuals can shed the virus for up to 28 days, with the highest proportion occurring within the first 3 days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HYPERLINK "https://www.medicines.org.uk/emc/product/3296/smpc/print#CONTRAINDICATIONS"</w:instrText>
      </w:r>
      <w:r>
        <w:rPr>
          <w:rFonts w:ascii="Times New Roman" w:cs="Times New Roman" w:hAnsi="Times New Roman" w:eastAsia="Times New Roman"/>
          <w:rtl w:val="0"/>
        </w:rPr>
        <w:fldChar w:fldCharType="separate" w:fldLock="0"/>
      </w:r>
      <w:r>
        <w:rPr>
          <w:rFonts w:ascii="Times New Roman" w:hAnsi="Times New Roman"/>
          <w:rtl w:val="0"/>
          <w:lang w:val="en-US"/>
        </w:rPr>
        <w:t>Source</w:t>
      </w:r>
      <w:r>
        <w:rPr>
          <w:rFonts w:ascii="Times New Roman" w:cs="Times New Roman" w:hAnsi="Times New Roman" w:eastAsia="Times New Roman"/>
          <w:rtl w:val="0"/>
        </w:rPr>
        <w:fldChar w:fldCharType="end" w:fldLock="0"/>
      </w:r>
      <w:r>
        <w:rPr>
          <w:rFonts w:ascii="Times New Roman" w:hAnsi="Times New Roman"/>
          <w:rtl w:val="0"/>
        </w:rPr>
        <w:t>).</w:t>
      </w:r>
      <w:r>
        <w:rPr>
          <w:rFonts w:ascii="Times New Roman" w:hAnsi="Times New Roman"/>
          <w:rtl w:val="0"/>
          <w:lang w:val="en-US"/>
        </w:rPr>
        <w:t xml:space="preserve"> </w:t>
      </w:r>
      <w:r>
        <w:rPr>
          <w:rFonts w:ascii="Times New Roman" w:cs="Times New Roman" w:hAnsi="Times New Roman" w:eastAsia="Times New Roman"/>
          <w:rtl w:val="0"/>
        </w:rPr>
        <w:drawing xmlns:a="http://schemas.openxmlformats.org/drawingml/2006/main">
          <wp:anchor distT="152400" distB="152400" distL="152400" distR="152400" simplePos="0" relativeHeight="251659264" behindDoc="0" locked="0" layoutInCell="1" allowOverlap="1">
            <wp:simplePos x="0" y="0"/>
            <wp:positionH relativeFrom="margin">
              <wp:posOffset>-282021</wp:posOffset>
            </wp:positionH>
            <wp:positionV relativeFrom="line">
              <wp:posOffset>271164</wp:posOffset>
            </wp:positionV>
            <wp:extent cx="5694778" cy="3358459"/>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5694778" cy="3358459"/>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Times New Roman" w:cs="Times New Roman" w:hAnsi="Times New Roman" w:eastAsia="Times New Roman"/>
          <w:b w:val="1"/>
          <w:bCs w:val="1"/>
          <w:i w:val="1"/>
          <w:iCs w:val="1"/>
          <w:u w:color="000000"/>
          <w:rtl w:val="0"/>
          <w:lang w:val="en-US"/>
          <w14:textOutline w14:w="12700" w14:cap="flat">
            <w14:noFill/>
            <w14:miter w14:lim="400000"/>
          </w14:textOutline>
        </w:rPr>
      </w:pPr>
      <w:r>
        <w:rPr>
          <w:rFonts w:ascii="Times New Roman" w:hAnsi="Times New Roman"/>
          <w:b w:val="1"/>
          <w:bCs w:val="1"/>
          <w:i w:val="1"/>
          <w:iCs w:val="1"/>
          <w:u w:color="000000"/>
          <w:rtl w:val="0"/>
          <w:lang w:val="en-US"/>
          <w14:textOutline w14:w="12700" w14:cap="flat">
            <w14:noFill/>
            <w14:miter w14:lim="400000"/>
          </w14:textOutline>
        </w:rPr>
        <w:t>"</w:t>
      </w:r>
      <w:r>
        <w:rPr>
          <w:rFonts w:ascii="Times New Roman" w:hAnsi="Times New Roman"/>
          <w:b w:val="1"/>
          <w:bCs w:val="1"/>
          <w:i w:val="1"/>
          <w:iCs w:val="1"/>
          <w:u w:color="000000"/>
          <w:rtl w:val="0"/>
          <w:lang w:val="en-US"/>
          <w14:textOutline w14:w="12700" w14:cap="flat">
            <w14:noFill/>
            <w14:miter w14:lim="400000"/>
          </w14:textOutline>
        </w:rPr>
        <w:t>The highest proportion of subjects in each group shed one or more vaccine strains on Days 2-3 post vaccination. After Day 11 among individuals 2 through 49 years of age (n = 443), virus titers did not exceed 1.5 log10 TCID50/mL.</w:t>
      </w:r>
      <w:r>
        <w:rPr>
          <w:rFonts w:ascii="Times New Roman" w:hAnsi="Times New Roman" w:hint="default"/>
          <w:b w:val="1"/>
          <w:bCs w:val="1"/>
          <w:i w:val="1"/>
          <w:iCs w:val="1"/>
          <w:u w:color="000000"/>
          <w:rtl w:val="0"/>
          <w:lang w:val="en-US"/>
          <w14:textOutline w14:w="12700" w14:cap="flat">
            <w14:noFill/>
            <w14:miter w14:lim="400000"/>
          </w14:textOutline>
        </w:rPr>
        <w:t>”</w:t>
      </w:r>
    </w:p>
    <w:p>
      <w:pPr>
        <w:pStyle w:val="Default"/>
        <w:bidi w:val="0"/>
        <w:spacing w:before="0" w:line="240" w:lineRule="auto"/>
        <w:ind w:left="0" w:right="0" w:firstLine="0"/>
        <w:jc w:val="left"/>
        <w:rPr>
          <w:rFonts w:ascii="Times New Roman" w:cs="Times New Roman" w:hAnsi="Times New Roman" w:eastAsia="Times New Roman"/>
          <w:i w:val="1"/>
          <w:iCs w:val="1"/>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i w:val="1"/>
          <w:iCs w:val="1"/>
          <w:u w:color="000000"/>
          <w:rtl w:val="0"/>
          <w:lang w:val="en-US"/>
          <w14:textOutline w14:w="12700" w14:cap="flat">
            <w14:noFill/>
            <w14:miter w14:lim="400000"/>
          </w14:textOutline>
        </w:rPr>
      </w:pPr>
      <w:r>
        <w:rPr>
          <w:rFonts w:ascii="Times New Roman" w:hAnsi="Times New Roman"/>
          <w:b w:val="1"/>
          <w:bCs w:val="1"/>
          <w:i w:val="1"/>
          <w:iCs w:val="1"/>
          <w:u w:color="000000"/>
          <w:rtl w:val="0"/>
          <w:lang w:val="en-US"/>
          <w14:textOutline w14:w="12700" w14:cap="flat">
            <w14:noFill/>
            <w14:miter w14:lim="400000"/>
          </w14:textOutline>
        </w:rPr>
        <w:t>"Virus shedding was evaluated for 21 days by culture of nasal swab specimens. Wild-type A (A/H3N2) influenza virus was documented to have circulated in the community and in the study population during the trial.</w:t>
      </w:r>
      <w:r>
        <w:rPr>
          <w:rFonts w:ascii="Times New Roman" w:hAnsi="Times New Roman" w:hint="default"/>
          <w:b w:val="1"/>
          <w:bCs w:val="1"/>
          <w:i w:val="1"/>
          <w:iCs w:val="1"/>
          <w:u w:color="000000"/>
          <w:rtl w:val="0"/>
          <w:lang w:val="en-US"/>
          <w14:textOutline w14:w="12700" w14:cap="flat">
            <w14:noFill/>
            <w14:miter w14:lim="400000"/>
          </w14:textOutline>
        </w:rPr>
        <w:t>”</w:t>
      </w:r>
    </w:p>
    <w:p>
      <w:pPr>
        <w:pStyle w:val="Default"/>
        <w:bidi w:val="0"/>
        <w:spacing w:before="0" w:line="240" w:lineRule="auto"/>
        <w:ind w:left="0" w:right="0" w:firstLine="0"/>
        <w:jc w:val="left"/>
        <w:rPr>
          <w:rFonts w:ascii="Times New Roman" w:cs="Times New Roman" w:hAnsi="Times New Roman" w:eastAsia="Times New Roman"/>
          <w:i w:val="1"/>
          <w:iCs w:val="1"/>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b w:val="1"/>
          <w:bCs w:val="1"/>
          <w:i w:val="1"/>
          <w:iCs w:val="1"/>
          <w:u w:color="000000"/>
          <w:rtl w:val="0"/>
          <w:lang w:val="en-US"/>
          <w14:textOutline w14:w="12700" w14:cap="flat">
            <w14:noFill/>
            <w14:miter w14:lim="400000"/>
          </w14:textOutline>
        </w:rPr>
      </w:pPr>
      <w:r>
        <w:rPr>
          <w:rFonts w:ascii="Times New Roman" w:hAnsi="Times New Roman" w:hint="default"/>
          <w:b w:val="1"/>
          <w:bCs w:val="1"/>
          <w:i w:val="1"/>
          <w:iCs w:val="1"/>
          <w:u w:color="000000"/>
          <w:rtl w:val="0"/>
          <w:lang w:val="en-US"/>
          <w14:textOutline w14:w="12700" w14:cap="flat">
            <w14:noFill/>
            <w14:miter w14:lim="400000"/>
          </w14:textOutline>
        </w:rPr>
        <w:t>“</w:t>
      </w:r>
      <w:r>
        <w:rPr>
          <w:rFonts w:ascii="Times New Roman" w:hAnsi="Times New Roman"/>
          <w:b w:val="1"/>
          <w:bCs w:val="1"/>
          <w:i w:val="1"/>
          <w:iCs w:val="1"/>
          <w:u w:color="000000"/>
          <w:rtl w:val="0"/>
          <w:lang w:val="en-US"/>
          <w14:textOutline w14:w="12700" w14:cap="flat">
            <w14:noFill/>
            <w14:miter w14:lim="400000"/>
          </w14:textOutline>
        </w:rPr>
        <w:t>The FluenzTetra is a live vaccine which can shed for a matter of weeks afterwards but predominantly in days 1-3.</w:t>
      </w:r>
      <w:r>
        <w:rPr>
          <w:rFonts w:ascii="Times New Roman" w:hAnsi="Times New Roman" w:hint="default"/>
          <w:b w:val="1"/>
          <w:bCs w:val="1"/>
          <w:i w:val="1"/>
          <w:iCs w:val="1"/>
          <w:u w:color="000000"/>
          <w:rtl w:val="0"/>
          <w:lang w:val="en-US"/>
          <w14:textOutline w14:w="12700" w14:cap="flat">
            <w14:noFill/>
            <w14:miter w14:lim="400000"/>
          </w14:textOutline>
        </w:rPr>
        <w:t>”</w:t>
      </w:r>
    </w:p>
    <w:p>
      <w:pPr>
        <w:pStyle w:val="Default"/>
        <w:bidi w:val="0"/>
        <w:spacing w:before="0" w:line="240" w:lineRule="auto"/>
        <w:ind w:left="0" w:right="0" w:firstLine="0"/>
        <w:jc w:val="left"/>
        <w:rPr>
          <w:rFonts w:ascii="Times New Roman" w:cs="Times New Roman" w:hAnsi="Times New Roman" w:eastAsia="Times New Roman"/>
          <w:i w:val="1"/>
          <w:iCs w:val="1"/>
          <w:u w:color="000000"/>
          <w:rtl w:val="0"/>
          <w:lang w:val="en-US"/>
          <w14:textOutline w14:w="12700" w14:cap="flat">
            <w14:noFill/>
            <w14:miter w14:lim="400000"/>
          </w14:textOutline>
        </w:rPr>
      </w:pPr>
      <w:r>
        <w:rPr>
          <w:rFonts w:ascii="Times New Roman" w:hAnsi="Times New Roman" w:hint="default"/>
          <w:i w:val="1"/>
          <w:iCs w:val="1"/>
          <w:u w:color="000000"/>
          <w:rtl w:val="0"/>
          <w:lang w:val="en-US"/>
          <w14:textOutline w14:w="12700" w14:cap="flat">
            <w14:noFill/>
            <w14:miter w14:lim="400000"/>
          </w14:textOutline>
        </w:rPr>
        <w:t> </w:t>
      </w:r>
    </w:p>
    <w:p>
      <w:pPr>
        <w:pStyle w:val="Default"/>
        <w:bidi w:val="0"/>
        <w:spacing w:before="0" w:line="240" w:lineRule="auto"/>
        <w:ind w:left="0" w:right="0" w:firstLine="0"/>
        <w:jc w:val="left"/>
        <w:rPr>
          <w:rFonts w:ascii="Times New Roman" w:cs="Times New Roman" w:hAnsi="Times New Roman" w:eastAsia="Times New Roman"/>
          <w:b w:val="1"/>
          <w:bCs w:val="1"/>
          <w:i w:val="1"/>
          <w:iCs w:val="1"/>
          <w:u w:color="000000"/>
          <w:rtl w:val="0"/>
          <w:lang w:val="en-US"/>
          <w14:textOutline w14:w="12700" w14:cap="flat">
            <w14:noFill/>
            <w14:miter w14:lim="400000"/>
          </w14:textOutline>
        </w:rPr>
      </w:pPr>
      <w:r>
        <w:rPr>
          <w:rFonts w:ascii="Times New Roman" w:hAnsi="Times New Roman" w:hint="default"/>
          <w:b w:val="1"/>
          <w:bCs w:val="1"/>
          <w:i w:val="1"/>
          <w:iCs w:val="1"/>
          <w:u w:color="000000"/>
          <w:rtl w:val="0"/>
          <w:lang w:val="en-US"/>
          <w14:textOutline w14:w="12700" w14:cap="flat">
            <w14:noFill/>
            <w14:miter w14:lim="400000"/>
          </w14:textOutline>
        </w:rPr>
        <w:t>“</w:t>
      </w:r>
      <w:r>
        <w:rPr>
          <w:rFonts w:ascii="Times New Roman" w:hAnsi="Times New Roman"/>
          <w:b w:val="1"/>
          <w:bCs w:val="1"/>
          <w:i w:val="1"/>
          <w:iCs w:val="1"/>
          <w:u w:color="000000"/>
          <w:rtl w:val="0"/>
          <w:lang w:val="en-US"/>
          <w14:textOutline w14:w="12700" w14:cap="flat">
            <w14:noFill/>
            <w14:miter w14:lim="400000"/>
          </w14:textOutline>
        </w:rPr>
        <w:t>Fluenz Tetra contain live attenuated influenza viruses that must infect and replicate in cells lining the nasopharynx of the recipient to induce immunity. Vaccine viruses capable of infection and replication can be cultured from nasal secretions obtained from vaccine recipients (shedding) [see Pharmacodynamics (12.2)].</w:t>
      </w:r>
      <w:r>
        <w:rPr>
          <w:rFonts w:ascii="Times New Roman" w:hAnsi="Times New Roman" w:hint="default"/>
          <w:b w:val="1"/>
          <w:bCs w:val="1"/>
          <w:i w:val="1"/>
          <w:iCs w:val="1"/>
          <w:u w:color="000000"/>
          <w:rtl w:val="0"/>
          <w:lang w:val="en-US"/>
          <w14:textOutline w14:w="12700" w14:cap="flat">
            <w14:noFill/>
            <w14:miter w14:lim="400000"/>
          </w14:textOutline>
        </w:rPr>
        <w:t>”</w:t>
      </w:r>
    </w:p>
    <w:p>
      <w:pPr>
        <w:pStyle w:val="Default"/>
        <w:bidi w:val="0"/>
        <w:spacing w:before="0" w:line="240" w:lineRule="auto"/>
        <w:ind w:left="0" w:right="0" w:firstLine="0"/>
        <w:jc w:val="left"/>
        <w:rPr>
          <w:rFonts w:ascii="Times New Roman" w:cs="Times New Roman" w:hAnsi="Times New Roman" w:eastAsia="Times New Roman"/>
          <w:outline w:val="0"/>
          <w:color w:val="500050"/>
          <w:sz w:val="26"/>
          <w:szCs w:val="26"/>
          <w:u w:color="212121"/>
          <w:shd w:val="clear" w:color="auto" w:fill="ffffff"/>
          <w:rtl w:val="0"/>
          <w:lang w:val="en-US"/>
          <w14:textOutline w14:w="12700" w14:cap="flat">
            <w14:noFill/>
            <w14:miter w14:lim="400000"/>
          </w14:textOutline>
          <w14:textFill>
            <w14:solidFill>
              <w14:srgbClr w14:val="500050"/>
            </w14:solidFill>
          </w14:textFill>
        </w:rPr>
      </w:pPr>
    </w:p>
    <w:p>
      <w:pPr>
        <w:pStyle w:val="Default"/>
        <w:bidi w:val="0"/>
        <w:spacing w:before="0" w:after="240" w:line="240" w:lineRule="auto"/>
        <w:ind w:left="0" w:right="0" w:firstLine="0"/>
        <w:jc w:val="left"/>
        <w:rPr>
          <w:rFonts w:ascii="Times New Roman" w:cs="Times New Roman" w:hAnsi="Times New Roman" w:eastAsia="Times New Roman"/>
          <w:rtl w:val="0"/>
        </w:rPr>
      </w:pPr>
      <w:r>
        <w:rPr>
          <w:rFonts w:ascii="Times New Roman" w:hAnsi="Times New Roman"/>
          <w:rtl w:val="0"/>
          <w:lang w:val="en-US"/>
        </w:rPr>
        <w:t xml:space="preserve">It is crucial to note that this shedding can pose a significant risk to immunocompromised individuals. </w:t>
      </w:r>
      <w:r>
        <w:rPr>
          <w:rFonts w:ascii="Times New Roman" w:hAnsi="Times New Roman"/>
          <w:rtl w:val="0"/>
          <w:lang w:val="en-US"/>
        </w:rPr>
        <w:t xml:space="preserve">We have an immunocompromised family due to elderly relatives and those going through certain treatments. </w:t>
      </w:r>
      <w:r>
        <w:rPr>
          <w:rFonts w:ascii="Times New Roman" w:hAnsi="Times New Roman"/>
          <w:rtl w:val="0"/>
          <w:lang w:val="en-US"/>
        </w:rPr>
        <w:t xml:space="preserve">For this reason, I do not feel comfortable allowing </w:t>
      </w:r>
      <w:r>
        <w:rPr>
          <w:rFonts w:ascii="Times New Roman" w:hAnsi="Times New Roman"/>
          <w:outline w:val="0"/>
          <w:color w:val="fe634d"/>
          <w:rtl w:val="0"/>
          <w:lang w:val="en-US"/>
          <w14:textFill>
            <w14:solidFill>
              <w14:srgbClr w14:val="FF644E"/>
            </w14:solidFill>
          </w14:textFill>
        </w:rPr>
        <w:t>[child</w:t>
      </w:r>
      <w:r>
        <w:rPr>
          <w:rFonts w:ascii="Times New Roman" w:hAnsi="Times New Roman" w:hint="default"/>
          <w:outline w:val="0"/>
          <w:color w:val="fe634d"/>
          <w:rtl w:val="1"/>
          <w14:textFill>
            <w14:solidFill>
              <w14:srgbClr w14:val="FF644E"/>
            </w14:solidFill>
          </w14:textFill>
        </w:rPr>
        <w:t>’</w:t>
      </w:r>
      <w:r>
        <w:rPr>
          <w:rFonts w:ascii="Times New Roman" w:hAnsi="Times New Roman"/>
          <w:outline w:val="0"/>
          <w:color w:val="fe634d"/>
          <w:rtl w:val="0"/>
          <w:lang w:val="en-US"/>
          <w14:textFill>
            <w14:solidFill>
              <w14:srgbClr w14:val="FF644E"/>
            </w14:solidFill>
          </w14:textFill>
        </w:rPr>
        <w:t>s name]</w:t>
      </w:r>
      <w:r>
        <w:rPr>
          <w:rFonts w:ascii="Times New Roman" w:hAnsi="Times New Roman"/>
          <w:rtl w:val="0"/>
          <w:lang w:val="en-US"/>
        </w:rPr>
        <w:t xml:space="preserve"> to receive this vaccine or to be in close contact with those who have recently received it. To </w:t>
      </w:r>
      <w:r>
        <w:rPr>
          <w:rFonts w:ascii="Times New Roman" w:hAnsi="Times New Roman"/>
          <w:rtl w:val="0"/>
          <w:lang w:val="en-US"/>
        </w:rPr>
        <w:t>minimise</w:t>
      </w:r>
      <w:r>
        <w:rPr>
          <w:rFonts w:ascii="Times New Roman" w:hAnsi="Times New Roman"/>
          <w:rtl w:val="0"/>
          <w:lang w:val="en-US"/>
        </w:rPr>
        <w:t xml:space="preserve"> potential exposure, I will be keeping </w:t>
      </w:r>
      <w:r>
        <w:rPr>
          <w:rFonts w:ascii="Times New Roman" w:hAnsi="Times New Roman"/>
          <w:outline w:val="0"/>
          <w:color w:val="fe634d"/>
          <w:rtl w:val="0"/>
          <w:lang w:val="en-US"/>
          <w14:textFill>
            <w14:solidFill>
              <w14:srgbClr w14:val="FF644E"/>
            </w14:solidFill>
          </w14:textFill>
        </w:rPr>
        <w:t>[child</w:t>
      </w:r>
      <w:r>
        <w:rPr>
          <w:rFonts w:ascii="Times New Roman" w:hAnsi="Times New Roman" w:hint="default"/>
          <w:outline w:val="0"/>
          <w:color w:val="fe634d"/>
          <w:rtl w:val="1"/>
          <w14:textFill>
            <w14:solidFill>
              <w14:srgbClr w14:val="FF644E"/>
            </w14:solidFill>
          </w14:textFill>
        </w:rPr>
        <w:t>’</w:t>
      </w:r>
      <w:r>
        <w:rPr>
          <w:rFonts w:ascii="Times New Roman" w:hAnsi="Times New Roman"/>
          <w:outline w:val="0"/>
          <w:color w:val="fe634d"/>
          <w:rtl w:val="0"/>
          <w:lang w:val="en-US"/>
          <w14:textFill>
            <w14:solidFill>
              <w14:srgbClr w14:val="FF644E"/>
            </w14:solidFill>
          </w14:textFill>
        </w:rPr>
        <w:t>s name]</w:t>
      </w:r>
      <w:r>
        <w:rPr>
          <w:rFonts w:ascii="Times New Roman" w:hAnsi="Times New Roman"/>
          <w:rtl w:val="0"/>
          <w:lang w:val="en-US"/>
        </w:rPr>
        <w:t xml:space="preserve"> home during the week following </w:t>
      </w:r>
      <w:r>
        <w:rPr>
          <w:rFonts w:ascii="Times New Roman" w:hAnsi="Times New Roman"/>
          <w:outline w:val="0"/>
          <w:color w:val="fe634d"/>
          <w:rtl w:val="0"/>
          <w:lang w:val="en-US"/>
          <w14:textFill>
            <w14:solidFill>
              <w14:srgbClr w14:val="FF644E"/>
            </w14:solidFill>
          </w14:textFill>
        </w:rPr>
        <w:t>[insert specific dates</w:t>
      </w:r>
      <w:r>
        <w:rPr>
          <w:rFonts w:ascii="Times New Roman" w:hAnsi="Times New Roman"/>
          <w:rtl w:val="0"/>
          <w:lang w:val="en-US"/>
        </w:rPr>
        <w:t xml:space="preserve">] and I kindly request that this be marked as an </w:t>
      </w:r>
      <w:r>
        <w:rPr>
          <w:rFonts w:ascii="Times New Roman" w:hAnsi="Times New Roman"/>
          <w:rtl w:val="0"/>
          <w:lang w:val="en-US"/>
        </w:rPr>
        <w:t>authorised</w:t>
      </w:r>
      <w:r>
        <w:rPr>
          <w:rFonts w:ascii="Times New Roman" w:hAnsi="Times New Roman"/>
          <w:rtl w:val="0"/>
          <w:lang w:val="en-US"/>
        </w:rPr>
        <w:t xml:space="preserve"> absence. We are happy to arrange for any schoolwork to be completed during this time, and we will supplement with our own educational activities.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Thank you for your understanding and cooperation on this matter.</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Regards</w:t>
      </w:r>
      <w:r>
        <w:rPr>
          <w:rFonts w:ascii="Times Roman" w:cs="Times Roman" w:hAnsi="Times Roman" w:eastAsia="Times Roman"/>
          <w:rtl w:val="0"/>
        </w:rPr>
        <w:br w:type="textWrapping"/>
      </w:r>
      <w:r>
        <w:rPr>
          <w:rFonts w:ascii="Times Roman" w:hAnsi="Times Roman"/>
          <w:outline w:val="0"/>
          <w:color w:val="fe634d"/>
          <w:rtl w:val="0"/>
          <w:lang w:val="en-US"/>
          <w14:textFill>
            <w14:solidFill>
              <w14:srgbClr w14:val="FF644E"/>
            </w14:solidFill>
          </w14:textFill>
        </w:rPr>
        <w:t>[Your Name]</w:t>
      </w:r>
    </w:p>
    <w:p>
      <w:pPr>
        <w:pStyle w:val="Default"/>
        <w:bidi w:val="0"/>
        <w:spacing w:before="0" w:line="240" w:lineRule="auto"/>
        <w:ind w:left="0" w:right="0" w:firstLine="0"/>
        <w:jc w:val="left"/>
        <w:rPr>
          <w:rtl w:val="0"/>
        </w:rPr>
      </w:pPr>
      <w:r>
        <w:rPr>
          <w:rFonts w:ascii="Times Roman" w:cs="Times Roman" w:hAnsi="Times Roman" w:eastAsia="Times Roman"/>
          <w:rtl w:val="0"/>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